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062" w:type="dxa"/>
        <w:tblLayout w:type="fixed"/>
        <w:tblLook w:val="04A0" w:firstRow="1" w:lastRow="0" w:firstColumn="1" w:lastColumn="0" w:noHBand="0" w:noVBand="1"/>
      </w:tblPr>
      <w:tblGrid>
        <w:gridCol w:w="3113"/>
        <w:gridCol w:w="5949"/>
      </w:tblGrid>
      <w:tr w:rsidR="00C530ED" w:rsidRPr="00692A87" w14:paraId="555A412C" w14:textId="77777777">
        <w:tc>
          <w:tcPr>
            <w:tcW w:w="3113" w:type="dxa"/>
          </w:tcPr>
          <w:p w14:paraId="7123970D"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Course title</w:t>
            </w:r>
          </w:p>
        </w:tc>
        <w:tc>
          <w:tcPr>
            <w:tcW w:w="5948" w:type="dxa"/>
          </w:tcPr>
          <w:p w14:paraId="7D66BD4A" w14:textId="77777777" w:rsidR="00C530ED" w:rsidRPr="006304BD" w:rsidRDefault="00793958">
            <w:pPr>
              <w:widowControl w:val="0"/>
              <w:spacing w:after="0" w:line="240" w:lineRule="auto"/>
              <w:rPr>
                <w:rFonts w:ascii="Arial" w:eastAsia="Calibri" w:hAnsi="Arial" w:cs="Arial"/>
                <w:b/>
                <w:bCs/>
                <w:sz w:val="24"/>
                <w:szCs w:val="24"/>
                <w:lang w:val="en-GB"/>
              </w:rPr>
            </w:pPr>
            <w:r w:rsidRPr="006304BD">
              <w:rPr>
                <w:rFonts w:ascii="Arial" w:eastAsia="Calibri" w:hAnsi="Arial" w:cs="Arial"/>
                <w:b/>
                <w:bCs/>
                <w:sz w:val="24"/>
                <w:szCs w:val="24"/>
                <w:lang w:val="en-GB"/>
              </w:rPr>
              <w:t>Data Protection in the European Union</w:t>
            </w:r>
          </w:p>
          <w:p w14:paraId="6978AB8D" w14:textId="77777777" w:rsidR="00C530ED" w:rsidRPr="006304BD" w:rsidRDefault="00C530ED">
            <w:pPr>
              <w:widowControl w:val="0"/>
              <w:spacing w:after="0" w:line="240" w:lineRule="auto"/>
              <w:rPr>
                <w:rFonts w:ascii="Arial" w:hAnsi="Arial" w:cs="Arial"/>
                <w:sz w:val="24"/>
                <w:szCs w:val="24"/>
                <w:lang w:val="en-GB"/>
              </w:rPr>
            </w:pPr>
          </w:p>
        </w:tc>
      </w:tr>
      <w:tr w:rsidR="00C530ED" w14:paraId="5D574374" w14:textId="77777777">
        <w:tc>
          <w:tcPr>
            <w:tcW w:w="3113" w:type="dxa"/>
          </w:tcPr>
          <w:p w14:paraId="028325FB"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Lecturer</w:t>
            </w:r>
          </w:p>
        </w:tc>
        <w:tc>
          <w:tcPr>
            <w:tcW w:w="5948" w:type="dxa"/>
          </w:tcPr>
          <w:p w14:paraId="7C54BE5C" w14:textId="77777777" w:rsidR="00C530ED" w:rsidRPr="006304BD" w:rsidRDefault="00793958">
            <w:pPr>
              <w:widowControl w:val="0"/>
              <w:spacing w:after="0" w:line="240" w:lineRule="auto"/>
              <w:rPr>
                <w:rFonts w:ascii="Arial" w:hAnsi="Arial" w:cs="Arial"/>
              </w:rPr>
            </w:pPr>
            <w:r w:rsidRPr="006304BD">
              <w:rPr>
                <w:rFonts w:ascii="Arial" w:eastAsia="Calibri" w:hAnsi="Arial" w:cs="Arial"/>
              </w:rPr>
              <w:t xml:space="preserve">mgr Maciej Smoliński </w:t>
            </w:r>
          </w:p>
          <w:p w14:paraId="5A17C7C2" w14:textId="77777777" w:rsidR="00C530ED" w:rsidRPr="006304BD" w:rsidRDefault="00C530ED">
            <w:pPr>
              <w:widowControl w:val="0"/>
              <w:spacing w:after="0" w:line="240" w:lineRule="auto"/>
              <w:rPr>
                <w:rFonts w:ascii="Arial" w:hAnsi="Arial" w:cs="Arial"/>
              </w:rPr>
            </w:pPr>
          </w:p>
        </w:tc>
      </w:tr>
      <w:tr w:rsidR="00C530ED" w14:paraId="48353879" w14:textId="77777777">
        <w:tc>
          <w:tcPr>
            <w:tcW w:w="3113" w:type="dxa"/>
          </w:tcPr>
          <w:p w14:paraId="77C39B25"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Hours</w:t>
            </w:r>
          </w:p>
        </w:tc>
        <w:tc>
          <w:tcPr>
            <w:tcW w:w="5948" w:type="dxa"/>
          </w:tcPr>
          <w:p w14:paraId="2623CAC3" w14:textId="4A27D8D6" w:rsidR="00C530ED" w:rsidRPr="006304BD" w:rsidRDefault="006304BD">
            <w:pPr>
              <w:widowControl w:val="0"/>
              <w:spacing w:after="0" w:line="240" w:lineRule="auto"/>
              <w:rPr>
                <w:rFonts w:ascii="Arial" w:eastAsia="Calibri" w:hAnsi="Arial" w:cs="Arial"/>
              </w:rPr>
            </w:pPr>
            <w:r w:rsidRPr="006304BD">
              <w:rPr>
                <w:rFonts w:ascii="Arial" w:eastAsia="Calibri" w:hAnsi="Arial" w:cs="Arial"/>
              </w:rPr>
              <w:t>32</w:t>
            </w:r>
          </w:p>
          <w:p w14:paraId="4626591B" w14:textId="77777777" w:rsidR="00C530ED" w:rsidRPr="006304BD" w:rsidRDefault="00C530ED">
            <w:pPr>
              <w:widowControl w:val="0"/>
              <w:spacing w:after="0" w:line="240" w:lineRule="auto"/>
              <w:rPr>
                <w:rFonts w:ascii="Arial" w:hAnsi="Arial" w:cs="Arial"/>
              </w:rPr>
            </w:pPr>
          </w:p>
        </w:tc>
      </w:tr>
      <w:tr w:rsidR="00C530ED" w14:paraId="75E99484" w14:textId="77777777">
        <w:tc>
          <w:tcPr>
            <w:tcW w:w="3113" w:type="dxa"/>
          </w:tcPr>
          <w:p w14:paraId="3CC467BA"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ECTS</w:t>
            </w:r>
          </w:p>
        </w:tc>
        <w:tc>
          <w:tcPr>
            <w:tcW w:w="5948" w:type="dxa"/>
          </w:tcPr>
          <w:p w14:paraId="55CC2861" w14:textId="442E9717" w:rsidR="00C530ED" w:rsidRPr="006304BD" w:rsidRDefault="006304BD">
            <w:pPr>
              <w:widowControl w:val="0"/>
              <w:spacing w:after="0" w:line="240" w:lineRule="auto"/>
              <w:rPr>
                <w:rFonts w:ascii="Arial" w:hAnsi="Arial" w:cs="Arial"/>
              </w:rPr>
            </w:pPr>
            <w:r w:rsidRPr="006304BD">
              <w:rPr>
                <w:rFonts w:ascii="Arial" w:eastAsia="Calibri" w:hAnsi="Arial" w:cs="Arial"/>
              </w:rPr>
              <w:t>4</w:t>
            </w:r>
          </w:p>
          <w:p w14:paraId="1435FAF7" w14:textId="77777777" w:rsidR="00C530ED" w:rsidRPr="006304BD" w:rsidRDefault="00C530ED">
            <w:pPr>
              <w:widowControl w:val="0"/>
              <w:spacing w:after="0" w:line="240" w:lineRule="auto"/>
              <w:rPr>
                <w:rFonts w:ascii="Arial" w:hAnsi="Arial" w:cs="Arial"/>
              </w:rPr>
            </w:pPr>
          </w:p>
        </w:tc>
      </w:tr>
      <w:tr w:rsidR="00C530ED" w14:paraId="1BA38020" w14:textId="77777777">
        <w:tc>
          <w:tcPr>
            <w:tcW w:w="3113" w:type="dxa"/>
          </w:tcPr>
          <w:p w14:paraId="1CF39466"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Semester</w:t>
            </w:r>
          </w:p>
        </w:tc>
        <w:tc>
          <w:tcPr>
            <w:tcW w:w="5948" w:type="dxa"/>
          </w:tcPr>
          <w:p w14:paraId="49666881" w14:textId="77777777" w:rsidR="00BC29AB" w:rsidRDefault="00BC29AB" w:rsidP="00BC29AB">
            <w:pPr>
              <w:pStyle w:val="Standard"/>
              <w:spacing w:after="0" w:line="240" w:lineRule="auto"/>
              <w:rPr>
                <w:rFonts w:ascii="Arial" w:hAnsi="Arial" w:cs="Arial"/>
              </w:rPr>
            </w:pPr>
            <w:r>
              <w:rPr>
                <w:rFonts w:ascii="Arial" w:hAnsi="Arial" w:cs="Arial"/>
              </w:rPr>
              <w:t>fall/spring</w:t>
            </w:r>
          </w:p>
          <w:p w14:paraId="4790DE0D" w14:textId="4AC02C0A" w:rsidR="00C530ED" w:rsidRPr="006304BD" w:rsidRDefault="00C530ED">
            <w:pPr>
              <w:widowControl w:val="0"/>
              <w:spacing w:after="0" w:line="240" w:lineRule="auto"/>
              <w:rPr>
                <w:rFonts w:ascii="Arial" w:hAnsi="Arial" w:cs="Arial"/>
              </w:rPr>
            </w:pPr>
            <w:bookmarkStart w:id="0" w:name="_GoBack"/>
            <w:bookmarkEnd w:id="0"/>
          </w:p>
        </w:tc>
      </w:tr>
      <w:tr w:rsidR="00C530ED" w:rsidRPr="00692A87" w14:paraId="450FA801" w14:textId="77777777">
        <w:tc>
          <w:tcPr>
            <w:tcW w:w="3113" w:type="dxa"/>
          </w:tcPr>
          <w:p w14:paraId="6A771893"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Content</w:t>
            </w:r>
          </w:p>
        </w:tc>
        <w:tc>
          <w:tcPr>
            <w:tcW w:w="5948" w:type="dxa"/>
          </w:tcPr>
          <w:p w14:paraId="75F6AE25" w14:textId="77777777" w:rsidR="00C530ED" w:rsidRPr="006304BD" w:rsidRDefault="00793958">
            <w:pPr>
              <w:widowControl w:val="0"/>
              <w:spacing w:after="0" w:line="240" w:lineRule="auto"/>
              <w:rPr>
                <w:rFonts w:ascii="Arial" w:eastAsia="Calibri" w:hAnsi="Arial" w:cs="Arial"/>
                <w:lang w:val="en-GB"/>
              </w:rPr>
            </w:pPr>
            <w:r w:rsidRPr="006304BD">
              <w:rPr>
                <w:rFonts w:ascii="Arial" w:eastAsia="Calibri" w:hAnsi="Arial" w:cs="Arial"/>
                <w:lang w:val="en-GB"/>
              </w:rPr>
              <w:t xml:space="preserve">Introduction to the European Data Protection </w:t>
            </w:r>
          </w:p>
          <w:p w14:paraId="1383AD1E" w14:textId="77777777" w:rsidR="00C530ED" w:rsidRPr="006304BD" w:rsidRDefault="00C530ED">
            <w:pPr>
              <w:widowControl w:val="0"/>
              <w:spacing w:after="0" w:line="240" w:lineRule="auto"/>
              <w:rPr>
                <w:rFonts w:ascii="Arial" w:eastAsia="Calibri" w:hAnsi="Arial" w:cs="Arial"/>
                <w:lang w:val="en-GB"/>
              </w:rPr>
            </w:pPr>
          </w:p>
          <w:p w14:paraId="3D950C20" w14:textId="77777777" w:rsidR="00C530ED" w:rsidRPr="006304BD" w:rsidRDefault="00793958">
            <w:pPr>
              <w:widowControl w:val="0"/>
              <w:spacing w:after="0" w:line="240" w:lineRule="auto"/>
              <w:rPr>
                <w:rFonts w:ascii="Arial" w:hAnsi="Arial" w:cs="Arial"/>
                <w:lang w:val="en-GB"/>
              </w:rPr>
            </w:pPr>
            <w:r w:rsidRPr="006304BD">
              <w:rPr>
                <w:rFonts w:ascii="Arial" w:eastAsia="Calibri" w:hAnsi="Arial" w:cs="Arial"/>
                <w:lang w:val="en-GB"/>
              </w:rPr>
              <w:t>Topics:</w:t>
            </w:r>
          </w:p>
          <w:p w14:paraId="19FEF242"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Introduction, history and legal framework of data protection laws</w:t>
            </w:r>
          </w:p>
          <w:p w14:paraId="64A07E27"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Basic concepts and definitions of data protection</w:t>
            </w:r>
          </w:p>
          <w:p w14:paraId="7C149680"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Material and territorial scope of the GDPR</w:t>
            </w:r>
          </w:p>
          <w:p w14:paraId="3CDEA1C3"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Principles of data processing</w:t>
            </w:r>
          </w:p>
          <w:p w14:paraId="43F09A05"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Lawful processing</w:t>
            </w:r>
          </w:p>
          <w:p w14:paraId="0051860A"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Transparency and information provision obligation</w:t>
            </w:r>
          </w:p>
          <w:p w14:paraId="528FE767"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Rights of data subjects</w:t>
            </w:r>
          </w:p>
          <w:p w14:paraId="75AD35FB"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Accountability and data security</w:t>
            </w:r>
          </w:p>
          <w:p w14:paraId="10FCC510"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Transfers of data, including cross border</w:t>
            </w:r>
          </w:p>
          <w:p w14:paraId="4C20B96C"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 xml:space="preserve">GDPR enforcement and supervision  </w:t>
            </w:r>
          </w:p>
          <w:p w14:paraId="1E76506F" w14:textId="77777777" w:rsidR="00C530ED" w:rsidRPr="006304BD" w:rsidRDefault="00793958">
            <w:pPr>
              <w:pStyle w:val="Akapitzlist"/>
              <w:widowControl w:val="0"/>
              <w:numPr>
                <w:ilvl w:val="0"/>
                <w:numId w:val="1"/>
              </w:numPr>
              <w:spacing w:after="0" w:line="240" w:lineRule="auto"/>
              <w:rPr>
                <w:rFonts w:ascii="Arial" w:hAnsi="Arial" w:cs="Arial"/>
                <w:lang w:val="en-GB"/>
              </w:rPr>
            </w:pPr>
            <w:r w:rsidRPr="006304BD">
              <w:rPr>
                <w:rFonts w:ascii="Arial" w:hAnsi="Arial" w:cs="Arial"/>
                <w:lang w:val="en-GB"/>
              </w:rPr>
              <w:t>Special use cases: sensitive data processing, surveillance, profiling, automated decision making</w:t>
            </w:r>
          </w:p>
          <w:p w14:paraId="3BF870E4" w14:textId="77777777" w:rsidR="00C530ED" w:rsidRPr="006304BD" w:rsidRDefault="00C530ED">
            <w:pPr>
              <w:pStyle w:val="Akapitzlist"/>
              <w:widowControl w:val="0"/>
              <w:spacing w:after="0" w:line="240" w:lineRule="auto"/>
              <w:rPr>
                <w:rFonts w:ascii="Arial" w:hAnsi="Arial" w:cs="Arial"/>
                <w:lang w:val="en-GB"/>
              </w:rPr>
            </w:pPr>
          </w:p>
        </w:tc>
      </w:tr>
      <w:tr w:rsidR="00C530ED" w:rsidRPr="00692A87" w14:paraId="66896E04" w14:textId="77777777">
        <w:tc>
          <w:tcPr>
            <w:tcW w:w="3113" w:type="dxa"/>
          </w:tcPr>
          <w:p w14:paraId="04AD0BA7"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Prerequisites</w:t>
            </w:r>
          </w:p>
        </w:tc>
        <w:tc>
          <w:tcPr>
            <w:tcW w:w="5948" w:type="dxa"/>
          </w:tcPr>
          <w:p w14:paraId="7DA4BE9C" w14:textId="5AD3D94E" w:rsidR="00C530ED" w:rsidRPr="006304BD" w:rsidRDefault="00793958">
            <w:pPr>
              <w:widowControl w:val="0"/>
              <w:spacing w:after="0" w:line="240" w:lineRule="auto"/>
              <w:rPr>
                <w:rFonts w:ascii="Arial" w:hAnsi="Arial" w:cs="Arial"/>
                <w:lang w:val="en-GB"/>
              </w:rPr>
            </w:pPr>
            <w:r w:rsidRPr="006304BD">
              <w:rPr>
                <w:rFonts w:ascii="Arial" w:eastAsia="Calibri" w:hAnsi="Arial" w:cs="Arial"/>
                <w:lang w:val="en-GB"/>
              </w:rPr>
              <w:t>General English level B1</w:t>
            </w:r>
            <w:r w:rsidR="006304BD" w:rsidRPr="006304BD">
              <w:rPr>
                <w:rFonts w:ascii="Arial" w:eastAsia="Calibri" w:hAnsi="Arial" w:cs="Arial"/>
                <w:lang w:val="en-GB"/>
              </w:rPr>
              <w:t xml:space="preserve"> – B2</w:t>
            </w:r>
          </w:p>
          <w:p w14:paraId="343168AC" w14:textId="77777777" w:rsidR="00C530ED" w:rsidRPr="006304BD" w:rsidRDefault="00C530ED">
            <w:pPr>
              <w:widowControl w:val="0"/>
              <w:spacing w:after="0" w:line="240" w:lineRule="auto"/>
              <w:rPr>
                <w:rFonts w:ascii="Arial" w:hAnsi="Arial" w:cs="Arial"/>
                <w:lang w:val="en-GB"/>
              </w:rPr>
            </w:pPr>
          </w:p>
        </w:tc>
      </w:tr>
      <w:tr w:rsidR="00C530ED" w:rsidRPr="00692A87" w14:paraId="67EAA142" w14:textId="77777777">
        <w:tc>
          <w:tcPr>
            <w:tcW w:w="3113" w:type="dxa"/>
          </w:tcPr>
          <w:p w14:paraId="414E7FFF"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Learning outcomes</w:t>
            </w:r>
          </w:p>
        </w:tc>
        <w:tc>
          <w:tcPr>
            <w:tcW w:w="5948" w:type="dxa"/>
          </w:tcPr>
          <w:p w14:paraId="7B912CBB" w14:textId="77777777" w:rsidR="00C530ED" w:rsidRPr="006304BD" w:rsidRDefault="00793958">
            <w:pPr>
              <w:widowControl w:val="0"/>
              <w:spacing w:after="0" w:line="240" w:lineRule="auto"/>
              <w:rPr>
                <w:rFonts w:ascii="Arial" w:hAnsi="Arial" w:cs="Arial"/>
                <w:lang w:val="en-GB"/>
              </w:rPr>
            </w:pPr>
            <w:r w:rsidRPr="006304BD">
              <w:rPr>
                <w:rFonts w:ascii="Arial" w:eastAsia="Calibri" w:hAnsi="Arial" w:cs="Arial"/>
                <w:u w:val="single"/>
                <w:lang w:val="en-GB"/>
              </w:rPr>
              <w:t>Knowledge:</w:t>
            </w:r>
            <w:r w:rsidRPr="006304BD">
              <w:rPr>
                <w:rFonts w:ascii="Arial" w:eastAsia="Calibri" w:hAnsi="Arial" w:cs="Arial"/>
                <w:lang w:val="en-GB"/>
              </w:rPr>
              <w:t xml:space="preserve"> The student knows and understands the basic concepts of personal data protection laws in the European Union </w:t>
            </w:r>
          </w:p>
          <w:p w14:paraId="0B6DECA3" w14:textId="77777777" w:rsidR="00C530ED" w:rsidRPr="006304BD" w:rsidRDefault="00C530ED">
            <w:pPr>
              <w:widowControl w:val="0"/>
              <w:spacing w:after="0" w:line="240" w:lineRule="auto"/>
              <w:rPr>
                <w:rFonts w:ascii="Arial" w:hAnsi="Arial" w:cs="Arial"/>
                <w:lang w:val="en-GB"/>
              </w:rPr>
            </w:pPr>
          </w:p>
          <w:p w14:paraId="131BCF82" w14:textId="77777777" w:rsidR="00C530ED" w:rsidRPr="006304BD" w:rsidRDefault="00793958">
            <w:pPr>
              <w:widowControl w:val="0"/>
              <w:spacing w:after="0" w:line="240" w:lineRule="auto"/>
              <w:rPr>
                <w:rFonts w:ascii="Arial" w:hAnsi="Arial" w:cs="Arial"/>
                <w:lang w:val="en-GB"/>
              </w:rPr>
            </w:pPr>
            <w:r w:rsidRPr="006304BD">
              <w:rPr>
                <w:rFonts w:ascii="Arial" w:eastAsia="Calibri" w:hAnsi="Arial" w:cs="Arial"/>
                <w:u w:val="single"/>
                <w:lang w:val="en-GB"/>
              </w:rPr>
              <w:t>Skills:</w:t>
            </w:r>
            <w:r w:rsidRPr="006304BD">
              <w:rPr>
                <w:rFonts w:ascii="Arial" w:eastAsia="Calibri" w:hAnsi="Arial" w:cs="Arial"/>
                <w:lang w:val="en-GB"/>
              </w:rPr>
              <w:t xml:space="preserve"> The student is able to review and draft </w:t>
            </w:r>
            <w:r w:rsidRPr="006304BD">
              <w:rPr>
                <w:rFonts w:ascii="Arial" w:hAnsi="Arial" w:cs="Arial"/>
                <w:lang w:val="en-GB"/>
              </w:rPr>
              <w:t>simple</w:t>
            </w:r>
            <w:r w:rsidRPr="006304BD">
              <w:rPr>
                <w:rFonts w:ascii="Arial" w:eastAsia="Calibri" w:hAnsi="Arial" w:cs="Arial"/>
                <w:lang w:val="en-GB"/>
              </w:rPr>
              <w:t xml:space="preserve"> data protection documents, such as data processing agreements, privacy notices, privacy policies </w:t>
            </w:r>
          </w:p>
          <w:p w14:paraId="2CF45ABC" w14:textId="77777777" w:rsidR="00C530ED" w:rsidRPr="006304BD" w:rsidRDefault="00C530ED">
            <w:pPr>
              <w:widowControl w:val="0"/>
              <w:spacing w:after="0" w:line="240" w:lineRule="auto"/>
              <w:rPr>
                <w:rFonts w:ascii="Arial" w:hAnsi="Arial" w:cs="Arial"/>
                <w:lang w:val="en-GB"/>
              </w:rPr>
            </w:pPr>
          </w:p>
          <w:p w14:paraId="3549B417" w14:textId="77777777" w:rsidR="00C530ED" w:rsidRPr="006304BD" w:rsidRDefault="00793958">
            <w:pPr>
              <w:widowControl w:val="0"/>
              <w:spacing w:after="0" w:line="240" w:lineRule="auto"/>
              <w:rPr>
                <w:rFonts w:ascii="Arial" w:hAnsi="Arial" w:cs="Arial"/>
                <w:lang w:val="en-GB"/>
              </w:rPr>
            </w:pPr>
            <w:r w:rsidRPr="006304BD">
              <w:rPr>
                <w:rFonts w:ascii="Arial" w:eastAsia="Calibri" w:hAnsi="Arial" w:cs="Arial"/>
                <w:u w:val="single"/>
                <w:lang w:val="en-GB"/>
              </w:rPr>
              <w:t xml:space="preserve">Competences: </w:t>
            </w:r>
            <w:r w:rsidRPr="006304BD">
              <w:rPr>
                <w:rFonts w:ascii="Arial" w:eastAsia="Calibri" w:hAnsi="Arial" w:cs="Arial"/>
                <w:lang w:val="en-GB"/>
              </w:rPr>
              <w:t xml:space="preserve">The student </w:t>
            </w:r>
            <w:r w:rsidRPr="006304BD">
              <w:rPr>
                <w:rFonts w:ascii="Arial" w:hAnsi="Arial" w:cs="Arial"/>
                <w:lang w:val="en-GB"/>
              </w:rPr>
              <w:t xml:space="preserve">has a comprehensive view on the aim of data protection law and its practical application </w:t>
            </w:r>
          </w:p>
          <w:p w14:paraId="678EAF5E" w14:textId="77777777" w:rsidR="00C530ED" w:rsidRPr="006304BD" w:rsidRDefault="00C530ED">
            <w:pPr>
              <w:widowControl w:val="0"/>
              <w:spacing w:after="0" w:line="240" w:lineRule="auto"/>
              <w:rPr>
                <w:rFonts w:ascii="Arial" w:hAnsi="Arial" w:cs="Arial"/>
                <w:lang w:val="en-GB"/>
              </w:rPr>
            </w:pPr>
          </w:p>
        </w:tc>
      </w:tr>
      <w:tr w:rsidR="00C530ED" w:rsidRPr="00692A87" w14:paraId="4257A15A" w14:textId="77777777">
        <w:tc>
          <w:tcPr>
            <w:tcW w:w="3113" w:type="dxa"/>
          </w:tcPr>
          <w:p w14:paraId="2F394156"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Selected literature</w:t>
            </w:r>
          </w:p>
        </w:tc>
        <w:tc>
          <w:tcPr>
            <w:tcW w:w="5948" w:type="dxa"/>
          </w:tcPr>
          <w:p w14:paraId="428C4A59" w14:textId="77777777" w:rsidR="00C530ED" w:rsidRPr="006304BD" w:rsidRDefault="00793958">
            <w:pPr>
              <w:widowControl w:val="0"/>
              <w:spacing w:after="0" w:line="240" w:lineRule="auto"/>
              <w:rPr>
                <w:rFonts w:ascii="Arial" w:hAnsi="Arial" w:cs="Arial"/>
                <w:lang w:val="en-GB"/>
              </w:rPr>
            </w:pPr>
            <w:r w:rsidRPr="006304BD">
              <w:rPr>
                <w:rFonts w:ascii="Arial" w:eastAsia="Calibri" w:hAnsi="Arial" w:cs="Arial"/>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14:paraId="1B0D0476" w14:textId="77777777" w:rsidR="00C530ED" w:rsidRPr="006304BD" w:rsidRDefault="00C530ED">
            <w:pPr>
              <w:widowControl w:val="0"/>
              <w:spacing w:after="0" w:line="240" w:lineRule="auto"/>
              <w:rPr>
                <w:rFonts w:ascii="Arial" w:hAnsi="Arial" w:cs="Arial"/>
                <w:lang w:val="en-GB"/>
              </w:rPr>
            </w:pPr>
          </w:p>
          <w:p w14:paraId="5D70EB52" w14:textId="77777777" w:rsidR="00C530ED" w:rsidRPr="006304BD" w:rsidRDefault="00793958">
            <w:pPr>
              <w:widowControl w:val="0"/>
              <w:spacing w:after="0" w:line="240" w:lineRule="auto"/>
              <w:rPr>
                <w:rFonts w:ascii="Arial" w:hAnsi="Arial" w:cs="Arial"/>
                <w:lang w:val="en-GB"/>
              </w:rPr>
            </w:pPr>
            <w:r w:rsidRPr="006304BD">
              <w:rPr>
                <w:rFonts w:ascii="Arial" w:eastAsia="Calibri" w:hAnsi="Arial" w:cs="Arial"/>
                <w:lang w:val="en-GB"/>
              </w:rPr>
              <w:t xml:space="preserve">Eduardo Ustaran (executive editor), European Data Protection: Law and Practice (2018) </w:t>
            </w:r>
          </w:p>
          <w:p w14:paraId="50009B6E" w14:textId="77777777" w:rsidR="00C530ED" w:rsidRPr="006304BD" w:rsidRDefault="00C530ED">
            <w:pPr>
              <w:widowControl w:val="0"/>
              <w:spacing w:after="0" w:line="240" w:lineRule="auto"/>
              <w:rPr>
                <w:rFonts w:ascii="Arial" w:hAnsi="Arial" w:cs="Arial"/>
                <w:lang w:val="en-GB"/>
              </w:rPr>
            </w:pPr>
          </w:p>
        </w:tc>
      </w:tr>
      <w:tr w:rsidR="00C530ED" w14:paraId="1469A217" w14:textId="77777777">
        <w:tc>
          <w:tcPr>
            <w:tcW w:w="3113" w:type="dxa"/>
          </w:tcPr>
          <w:p w14:paraId="36D5E418"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Teaching tools/methods</w:t>
            </w:r>
          </w:p>
        </w:tc>
        <w:tc>
          <w:tcPr>
            <w:tcW w:w="5948" w:type="dxa"/>
          </w:tcPr>
          <w:p w14:paraId="469C43DC" w14:textId="77777777" w:rsidR="00C530ED" w:rsidRPr="006304BD" w:rsidRDefault="00793958">
            <w:pPr>
              <w:widowControl w:val="0"/>
              <w:spacing w:after="0" w:line="240" w:lineRule="auto"/>
              <w:rPr>
                <w:rFonts w:ascii="Arial" w:hAnsi="Arial" w:cs="Arial"/>
              </w:rPr>
            </w:pPr>
            <w:r w:rsidRPr="006304BD">
              <w:rPr>
                <w:rFonts w:ascii="Arial" w:eastAsia="Calibri" w:hAnsi="Arial" w:cs="Arial"/>
              </w:rPr>
              <w:t>online classes, exercises, discussion</w:t>
            </w:r>
          </w:p>
          <w:p w14:paraId="73E43246" w14:textId="77777777" w:rsidR="00C530ED" w:rsidRPr="006304BD" w:rsidRDefault="00C530ED">
            <w:pPr>
              <w:widowControl w:val="0"/>
              <w:spacing w:after="0" w:line="240" w:lineRule="auto"/>
              <w:rPr>
                <w:rFonts w:ascii="Arial" w:hAnsi="Arial" w:cs="Arial"/>
              </w:rPr>
            </w:pPr>
          </w:p>
        </w:tc>
      </w:tr>
      <w:tr w:rsidR="00C530ED" w14:paraId="5B1666DA" w14:textId="77777777">
        <w:tc>
          <w:tcPr>
            <w:tcW w:w="3113" w:type="dxa"/>
          </w:tcPr>
          <w:p w14:paraId="337C0D2B" w14:textId="77777777" w:rsidR="00C530ED" w:rsidRDefault="00793958">
            <w:pPr>
              <w:widowControl w:val="0"/>
              <w:spacing w:after="0" w:line="240" w:lineRule="auto"/>
              <w:rPr>
                <w:rFonts w:ascii="Arial" w:hAnsi="Arial" w:cs="Arial"/>
                <w:b/>
                <w:bCs/>
                <w:i/>
                <w:iCs/>
                <w:sz w:val="24"/>
                <w:szCs w:val="24"/>
              </w:rPr>
            </w:pPr>
            <w:r>
              <w:rPr>
                <w:rFonts w:ascii="Arial" w:eastAsia="Calibri" w:hAnsi="Arial" w:cs="Arial"/>
                <w:b/>
                <w:bCs/>
                <w:i/>
                <w:iCs/>
                <w:sz w:val="24"/>
                <w:szCs w:val="24"/>
              </w:rPr>
              <w:t>Form of examination</w:t>
            </w:r>
          </w:p>
        </w:tc>
        <w:tc>
          <w:tcPr>
            <w:tcW w:w="5948" w:type="dxa"/>
          </w:tcPr>
          <w:p w14:paraId="39120908" w14:textId="77777777" w:rsidR="00C530ED" w:rsidRPr="006304BD" w:rsidRDefault="00793958">
            <w:pPr>
              <w:widowControl w:val="0"/>
              <w:spacing w:after="0" w:line="240" w:lineRule="auto"/>
              <w:rPr>
                <w:rFonts w:ascii="Arial" w:hAnsi="Arial" w:cs="Arial"/>
                <w:lang w:val="en-GB"/>
              </w:rPr>
            </w:pPr>
            <w:r w:rsidRPr="006304BD">
              <w:rPr>
                <w:rFonts w:ascii="Arial" w:eastAsia="Calibri" w:hAnsi="Arial" w:cs="Arial"/>
                <w:lang w:val="en-GB"/>
              </w:rPr>
              <w:t xml:space="preserve">written test </w:t>
            </w:r>
          </w:p>
          <w:p w14:paraId="03F14CA7" w14:textId="77777777" w:rsidR="00C530ED" w:rsidRPr="006304BD" w:rsidRDefault="00C530ED">
            <w:pPr>
              <w:widowControl w:val="0"/>
              <w:spacing w:after="0" w:line="240" w:lineRule="auto"/>
              <w:rPr>
                <w:rFonts w:ascii="Arial" w:hAnsi="Arial" w:cs="Arial"/>
                <w:lang w:val="en-GB"/>
              </w:rPr>
            </w:pPr>
          </w:p>
        </w:tc>
      </w:tr>
    </w:tbl>
    <w:p w14:paraId="05749E47" w14:textId="77777777" w:rsidR="00C530ED" w:rsidRDefault="00C530ED">
      <w:pPr>
        <w:rPr>
          <w:lang w:val="en-GB"/>
        </w:rPr>
      </w:pPr>
    </w:p>
    <w:sectPr w:rsidR="00C530E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3F69"/>
    <w:multiLevelType w:val="multilevel"/>
    <w:tmpl w:val="9E2432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9F66EF"/>
    <w:multiLevelType w:val="multilevel"/>
    <w:tmpl w:val="55A2BE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ED"/>
    <w:rsid w:val="006304BD"/>
    <w:rsid w:val="00692A87"/>
    <w:rsid w:val="00793958"/>
    <w:rsid w:val="00BC29AB"/>
    <w:rsid w:val="00C530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4B4C"/>
  <w15:docId w15:val="{D1F52C60-7290-4096-8A4E-86D93808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1557B"/>
    <w:pPr>
      <w:ind w:left="720"/>
      <w:contextualSpacing/>
    </w:pPr>
  </w:style>
  <w:style w:type="table" w:styleId="Tabela-Siatka">
    <w:name w:val="Table Grid"/>
    <w:basedOn w:val="Standardowy"/>
    <w:uiPriority w:val="39"/>
    <w:rsid w:val="00AC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93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958"/>
    <w:rPr>
      <w:rFonts w:ascii="Segoe UI" w:hAnsi="Segoe UI" w:cs="Segoe UI"/>
      <w:sz w:val="18"/>
      <w:szCs w:val="18"/>
    </w:rPr>
  </w:style>
  <w:style w:type="paragraph" w:styleId="Poprawka">
    <w:name w:val="Revision"/>
    <w:hidden/>
    <w:uiPriority w:val="99"/>
    <w:semiHidden/>
    <w:rsid w:val="00692A87"/>
    <w:pPr>
      <w:suppressAutoHyphens w:val="0"/>
    </w:pPr>
  </w:style>
  <w:style w:type="paragraph" w:customStyle="1" w:styleId="Standard">
    <w:name w:val="Standard"/>
    <w:rsid w:val="00BC29AB"/>
    <w:pPr>
      <w:autoSpaceDN w:val="0"/>
      <w:spacing w:after="160" w:line="252"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Madej</dc:creator>
  <dc:description/>
  <cp:lastModifiedBy>amadej</cp:lastModifiedBy>
  <cp:revision>8</cp:revision>
  <dcterms:created xsi:type="dcterms:W3CDTF">2021-05-26T21:16:00Z</dcterms:created>
  <dcterms:modified xsi:type="dcterms:W3CDTF">2021-05-27T22:42:00Z</dcterms:modified>
  <dc:language>pl-PL</dc:language>
</cp:coreProperties>
</file>